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2776538</wp:posOffset>
            </wp:positionH>
            <wp:positionV relativeFrom="page">
              <wp:posOffset>85725</wp:posOffset>
            </wp:positionV>
            <wp:extent cx="2222694" cy="21193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22694" cy="2119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Lexend Thin" w:cs="Lexend Thin" w:eastAsia="Lexend Thin" w:hAnsi="Lexend Thin"/>
          <w:sz w:val="44"/>
          <w:szCs w:val="44"/>
        </w:rPr>
      </w:pPr>
      <w:r w:rsidDel="00000000" w:rsidR="00000000" w:rsidRPr="00000000">
        <w:rPr>
          <w:rFonts w:ascii="Lexend Thin" w:cs="Lexend Thin" w:eastAsia="Lexend Thin" w:hAnsi="Lexend Thin"/>
          <w:sz w:val="54"/>
          <w:szCs w:val="54"/>
          <w:rtl w:val="0"/>
        </w:rPr>
        <w:t xml:space="preserve">Development Team Glossary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left"/>
        <w:rPr>
          <w:rFonts w:ascii="Lexend Thin" w:cs="Lexend Thin" w:eastAsia="Lexend Thin" w:hAnsi="Lexend Thi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color w:val="404040"/>
        </w:rPr>
      </w:pPr>
      <w:r w:rsidDel="00000000" w:rsidR="00000000" w:rsidRPr="00000000">
        <w:rPr>
          <w:rFonts w:ascii="Lexend Thin" w:cs="Lexend Thin" w:eastAsia="Lexend Thin" w:hAnsi="Lexend Thin"/>
          <w:sz w:val="24"/>
          <w:szCs w:val="24"/>
          <w:rtl w:val="0"/>
        </w:rPr>
        <w:t xml:space="preserve">Common Development Staff Positions </w:t>
      </w:r>
      <w:r w:rsidDel="00000000" w:rsidR="00000000" w:rsidRPr="00000000">
        <w:rPr>
          <w:rtl w:val="0"/>
        </w:rPr>
      </w:r>
    </w:p>
    <w:tbl>
      <w:tblPr>
        <w:tblStyle w:val="Table1"/>
        <w:tblW w:w="11235.0" w:type="dxa"/>
        <w:jc w:val="left"/>
        <w:tblInd w:w="-9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5"/>
        <w:gridCol w:w="7410"/>
        <w:tblGridChange w:id="0">
          <w:tblGrid>
            <w:gridCol w:w="3825"/>
            <w:gridCol w:w="741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6b72" w:val="clear"/>
            <w:tcMar>
              <w:top w:w="80.0" w:type="dxa"/>
              <w:left w:w="15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Lexend Thin" w:cs="Lexend Thin" w:eastAsia="Lexend Thin" w:hAnsi="Lexend Thi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Lexend Thin" w:cs="Lexend Thin" w:eastAsia="Lexend Thin" w:hAnsi="Lexend Thin"/>
                <w:color w:val="ffffff"/>
                <w:sz w:val="25"/>
                <w:szCs w:val="25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a6b72" w:val="clear"/>
            <w:tcMar>
              <w:top w:w="80.0" w:type="dxa"/>
              <w:left w:w="15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Lexend Thin" w:cs="Lexend Thin" w:eastAsia="Lexend Thin" w:hAnsi="Lexend Thin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Lexend Thin" w:cs="Lexend Thin" w:eastAsia="Lexend Thin" w:hAnsi="Lexend Thin"/>
                <w:color w:val="ffffff"/>
                <w:sz w:val="25"/>
                <w:szCs w:val="25"/>
                <w:rtl w:val="0"/>
              </w:rPr>
              <w:t xml:space="preserve">Role &amp; Scope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Chief Executive Officer / Executive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Top organizational leader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Sets vision and strategy; ultimately accountable for all revenue—earned and contributed. In smaller orgs, actively cultivates major donors and anchor partners.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Development Director / VP of Development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Head of fundraising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Owns the contributed revenue strategy and team. Manages donor relationships, sets annual goals, and serves as the primary bridge between program impact and philanthropy.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Associate Development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Senior individual contributor or team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Manages a portfolio of donors or a specific channel (e.g., major gifts). May supervise junior staff. Often a pathway role toward a director title.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Development &amp; Communications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Dual-function generalist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Handles both fundraising operations and external messaging. Common in mid-size orgs where communications and development are tightly linked but a full director for each isn't yet warranted.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Development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Mid-level fundraising operations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Oversees day-to-day development activities—gift processing, appeals, donor stewardship—and may manage 1–2 coordinators. Often focused on systems and execution.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Development Associate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Entry- to mid-level generalist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Supports across functions: data entry, acknowledgment letters, event logistics, prospect research. A core learning role for people entering the development field.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Communications Director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Head of external communications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Leads brand voice, content strategy, and storytelling. Collaborates closely with development on donor-facing materials and campaigns, and with earned-revenue teams on marketing. In social enterprises often supports both fundraising appeals and business marketing.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Communications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Mid-level communications executor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Manages content calendar, social media, newsletters, and impact reports. In social enterprises, often supports both fundraising appeals and business marketing.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Spectral" w:cs="Spectral" w:eastAsia="Spectral" w:hAnsi="Spectral"/>
                <w:b w:val="1"/>
                <w:bCs w:val="1"/>
                <w:color w:val="1a6b72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Major Gifts Officer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Spectral" w:cs="Spectral" w:eastAsia="Spectral" w:hAnsi="Spectral"/>
                <w:b w:val="1"/>
                <w:bCs w:val="1"/>
                <w:color w:val="1a6b72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Senior major donor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Spectral" w:cs="Spectral" w:eastAsia="Spectral" w:hAnsi="Spectral"/>
                <w:color w:val="404040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Manages a personal portfolio of high-capacity donors, typically those with the potential to give $5,000 or more. Focuses on deep relationship-building through one-on-one cultivation, solicitation, and stewardship. Works closely with the Executive Director on top prospects and is a key role once an organization has an established individual giving program and a donor base ready to move up the giving ladder.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Individual Giving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Mid-level major and annual giving lead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Manages a smaller portfolio of individual donors through personalized cultivation and solicitation. Oversees annual fund strategy, mid-level giving, and major gift pipelines.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Events Coordinator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Events logistics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Plans and executes donor cultivation events, fundraising galas, and community engagement activities. Tracks RSVPs, vendor relationships, and post-event follow-up.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Grants Manager / Grant Writer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Foundation and institutional funding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Researches grant opportunities, writes proposals, manages deadlines, and submits reports to funders. In larger orgs, the manager role adds oversight of a portfolio and compliance.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Corporate Sponsorship Fulfillment Coordinator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Sponsorship support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Ensures corporate sponsors receive agreed-upon recognition, reporting, and benefits.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Development Data Coordinator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CRM and data specialist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Manages donor database integrity, gift entry, reporting, and data hygiene. Produces dashboards and lists that power fundraising strategy and compliance.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bCs w:val="1"/>
                <w:color w:val="1a6b72"/>
                <w:rtl w:val="0"/>
              </w:rPr>
              <w:t xml:space="preserve">Compliance &amp; Administration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i w:val="1"/>
                <w:iCs w:val="1"/>
                <w:color w:val="c8922a"/>
                <w:sz w:val="20"/>
                <w:szCs w:val="20"/>
                <w:rtl w:val="0"/>
              </w:rPr>
              <w:t xml:space="preserve">Regulatory and operational oversight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5f5f5" w:val="clear"/>
            <w:tcMar>
              <w:top w:w="100.0" w:type="dxa"/>
              <w:left w:w="15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Spectral" w:cs="Spectral" w:eastAsia="Spectral" w:hAnsi="Spectral"/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Fonts w:ascii="Spectral" w:cs="Spectral" w:eastAsia="Spectral" w:hAnsi="Spectral"/>
                <w:color w:val="404040"/>
                <w:rtl w:val="0"/>
              </w:rPr>
              <w:t xml:space="preserve">Ensures organizational adherence to grant and contract terms and reporting requirements.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jc w:val="left"/>
        <w:rPr>
          <w:rFonts w:ascii="Spectral ExtraLight" w:cs="Spectral ExtraLight" w:eastAsia="Spectral ExtraLight" w:hAnsi="Spectral Extra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left"/>
        <w:rPr>
          <w:rFonts w:ascii="Spectral ExtraLight" w:cs="Spectral ExtraLight" w:eastAsia="Spectral ExtraLight" w:hAnsi="Spectral Extra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left"/>
        <w:rPr>
          <w:rFonts w:ascii="Spectral ExtraLight" w:cs="Spectral ExtraLight" w:eastAsia="Spectral ExtraLight" w:hAnsi="Spectral Extra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Spectral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pectral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exend Thin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ExtraLight-regular.ttf"/><Relationship Id="rId2" Type="http://schemas.openxmlformats.org/officeDocument/2006/relationships/font" Target="fonts/SpectralExtraLight-bold.ttf"/><Relationship Id="rId3" Type="http://schemas.openxmlformats.org/officeDocument/2006/relationships/font" Target="fonts/SpectralExtraLight-italic.ttf"/><Relationship Id="rId4" Type="http://schemas.openxmlformats.org/officeDocument/2006/relationships/font" Target="fonts/SpectralExtraLight-boldItalic.ttf"/><Relationship Id="rId10" Type="http://schemas.openxmlformats.org/officeDocument/2006/relationships/font" Target="fonts/LexendThin-bold.ttf"/><Relationship Id="rId9" Type="http://schemas.openxmlformats.org/officeDocument/2006/relationships/font" Target="fonts/LexendThin-regular.ttf"/><Relationship Id="rId5" Type="http://schemas.openxmlformats.org/officeDocument/2006/relationships/font" Target="fonts/Spectral-regular.ttf"/><Relationship Id="rId6" Type="http://schemas.openxmlformats.org/officeDocument/2006/relationships/font" Target="fonts/Spectral-bold.ttf"/><Relationship Id="rId7" Type="http://schemas.openxmlformats.org/officeDocument/2006/relationships/font" Target="fonts/Spectral-italic.ttf"/><Relationship Id="rId8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