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Source Sans Pro" w:cs="Source Sans Pro" w:eastAsia="Source Sans Pro" w:hAnsi="Source Sans Pro"/>
          <w:sz w:val="60"/>
          <w:szCs w:val="60"/>
        </w:rPr>
      </w:pPr>
      <w:r w:rsidDel="00000000" w:rsidR="00000000" w:rsidRPr="00000000">
        <w:rPr>
          <w:rFonts w:ascii="Source Sans Pro" w:cs="Source Sans Pro" w:eastAsia="Source Sans Pro" w:hAnsi="Source Sans Pro"/>
          <w:sz w:val="60"/>
          <w:szCs w:val="6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4000500</wp:posOffset>
            </wp:positionH>
            <wp:positionV relativeFrom="page">
              <wp:posOffset>38100</wp:posOffset>
            </wp:positionV>
            <wp:extent cx="2052638" cy="194535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2638" cy="19453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left"/>
        <w:rPr>
          <w:rFonts w:ascii="Source Sans Pro" w:cs="Source Sans Pro" w:eastAsia="Source Sans Pro" w:hAnsi="Source Sans Pro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Lato Hairline" w:cs="Lato Hairline" w:eastAsia="Lato Hairline" w:hAnsi="Lato Hairlin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Lato Hairline" w:cs="Lato Hairline" w:eastAsia="Lato Hairline" w:hAnsi="Lato Hairline"/>
          <w:sz w:val="60"/>
          <w:szCs w:val="60"/>
        </w:rPr>
      </w:pPr>
      <w:r w:rsidDel="00000000" w:rsidR="00000000" w:rsidRPr="00000000">
        <w:rPr>
          <w:rFonts w:ascii="Lato Hairline" w:cs="Lato Hairline" w:eastAsia="Lato Hairline" w:hAnsi="Lato Hairline"/>
          <w:sz w:val="60"/>
          <w:szCs w:val="60"/>
          <w:rtl w:val="0"/>
        </w:rPr>
        <w:t xml:space="preserve">Fundraising Strategy: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Lato Hairline" w:cs="Lato Hairline" w:eastAsia="Lato Hairline" w:hAnsi="Lato Hairline"/>
          <w:sz w:val="48"/>
          <w:szCs w:val="48"/>
        </w:rPr>
      </w:pPr>
      <w:r w:rsidDel="00000000" w:rsidR="00000000" w:rsidRPr="00000000">
        <w:rPr>
          <w:rFonts w:ascii="Lato Hairline" w:cs="Lato Hairline" w:eastAsia="Lato Hairline" w:hAnsi="Lato Hairline"/>
          <w:sz w:val="48"/>
          <w:szCs w:val="48"/>
          <w:rtl w:val="0"/>
        </w:rPr>
        <w:t xml:space="preserve">Scoring Rubric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Spectral" w:cs="Spectral" w:eastAsia="Spectral" w:hAnsi="Spectral"/>
          <w:sz w:val="20"/>
          <w:szCs w:val="20"/>
        </w:rPr>
      </w:pPr>
      <w:r w:rsidDel="00000000" w:rsidR="00000000" w:rsidRPr="00000000">
        <w:rPr>
          <w:rFonts w:ascii="Spectral" w:cs="Spectral" w:eastAsia="Spectral" w:hAnsi="Spectral"/>
          <w:sz w:val="20"/>
          <w:szCs w:val="20"/>
          <w:rtl w:val="0"/>
        </w:rPr>
        <w:t xml:space="preserve">As you learn about each fundraising strategy, rank them across the columns on a scale of 1-5.</w:t>
      </w:r>
    </w:p>
    <w:p w:rsidR="00000000" w:rsidDel="00000000" w:rsidP="00000000" w:rsidRDefault="00000000" w:rsidRPr="00000000" w14:paraId="00000008">
      <w:pPr>
        <w:pageBreakBefore w:val="0"/>
        <w:rPr>
          <w:rFonts w:ascii="Spectral" w:cs="Spectral" w:eastAsia="Spectral" w:hAnsi="Spectral"/>
          <w:sz w:val="20"/>
          <w:szCs w:val="20"/>
        </w:rPr>
      </w:pPr>
      <w:r w:rsidDel="00000000" w:rsidR="00000000" w:rsidRPr="00000000">
        <w:rPr>
          <w:rFonts w:ascii="Spectral" w:cs="Spectral" w:eastAsia="Spectral" w:hAnsi="Spectral"/>
          <w:sz w:val="20"/>
          <w:szCs w:val="20"/>
          <w:rtl w:val="0"/>
        </w:rPr>
        <w:t xml:space="preserve">1=not at all </w:t>
      </w:r>
    </w:p>
    <w:p w:rsidR="00000000" w:rsidDel="00000000" w:rsidP="00000000" w:rsidRDefault="00000000" w:rsidRPr="00000000" w14:paraId="00000009">
      <w:pPr>
        <w:pageBreakBefore w:val="0"/>
        <w:rPr>
          <w:rFonts w:ascii="Spectral" w:cs="Spectral" w:eastAsia="Spectral" w:hAnsi="Spectral"/>
          <w:sz w:val="20"/>
          <w:szCs w:val="20"/>
        </w:rPr>
      </w:pPr>
      <w:r w:rsidDel="00000000" w:rsidR="00000000" w:rsidRPr="00000000">
        <w:rPr>
          <w:rFonts w:ascii="Spectral" w:cs="Spectral" w:eastAsia="Spectral" w:hAnsi="Spectral"/>
          <w:sz w:val="20"/>
          <w:szCs w:val="20"/>
          <w:rtl w:val="0"/>
        </w:rPr>
        <w:t xml:space="preserve">5=extremely</w:t>
      </w:r>
    </w:p>
    <w:p w:rsidR="00000000" w:rsidDel="00000000" w:rsidP="00000000" w:rsidRDefault="00000000" w:rsidRPr="00000000" w14:paraId="0000000A">
      <w:pPr>
        <w:pageBreakBefore w:val="0"/>
        <w:rPr>
          <w:rFonts w:ascii="Spectral" w:cs="Spectral" w:eastAsia="Spectral" w:hAnsi="Spectr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2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1575"/>
        <w:gridCol w:w="1620"/>
        <w:gridCol w:w="1515"/>
        <w:gridCol w:w="1590"/>
        <w:gridCol w:w="1575"/>
        <w:gridCol w:w="1740"/>
        <w:gridCol w:w="2025"/>
        <w:tblGridChange w:id="0">
          <w:tblGrid>
            <w:gridCol w:w="1605"/>
            <w:gridCol w:w="1575"/>
            <w:gridCol w:w="1620"/>
            <w:gridCol w:w="1515"/>
            <w:gridCol w:w="1590"/>
            <w:gridCol w:w="1575"/>
            <w:gridCol w:w="1740"/>
            <w:gridCol w:w="2025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ind w:left="0" w:firstLine="0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color w:val="232223"/>
                <w:sz w:val="20"/>
                <w:szCs w:val="20"/>
                <w:rtl w:val="0"/>
              </w:rPr>
              <w:t xml:space="preserve">How sustainable is it for us?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ind w:left="0" w:firstLine="0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color w:val="232223"/>
                <w:sz w:val="20"/>
                <w:szCs w:val="20"/>
                <w:rtl w:val="0"/>
              </w:rPr>
              <w:t xml:space="preserve">How strong is the return on investment for us?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ind w:left="0" w:firstLine="0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color w:val="232223"/>
                <w:sz w:val="20"/>
                <w:szCs w:val="20"/>
                <w:rtl w:val="0"/>
              </w:rPr>
              <w:t xml:space="preserve">How quickly will the money come in?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ind w:left="0" w:firstLine="0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color w:val="232223"/>
                <w:sz w:val="20"/>
                <w:szCs w:val="20"/>
                <w:rtl w:val="0"/>
              </w:rPr>
              <w:t xml:space="preserve">How interested are these donors in our mission?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ind w:left="0" w:firstLine="0"/>
              <w:rPr>
                <w:rFonts w:ascii="Spectral" w:cs="Spectral" w:eastAsia="Spectral" w:hAnsi="Spectral"/>
                <w:color w:val="232223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color w:val="232223"/>
                <w:sz w:val="20"/>
                <w:szCs w:val="20"/>
                <w:rtl w:val="0"/>
              </w:rPr>
              <w:t xml:space="preserve">How well does it work in our fundraising landscape?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ind w:left="0" w:firstLine="0"/>
              <w:rPr>
                <w:rFonts w:ascii="Spectral" w:cs="Spectral" w:eastAsia="Spectral" w:hAnsi="Spectral"/>
                <w:color w:val="232223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color w:val="232223"/>
                <w:sz w:val="20"/>
                <w:szCs w:val="20"/>
                <w:rtl w:val="0"/>
              </w:rPr>
              <w:t xml:space="preserve">How simple is it to operate?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ind w:left="0" w:firstLine="0"/>
              <w:rPr>
                <w:rFonts w:ascii="Spectral" w:cs="Spectral" w:eastAsia="Spectral" w:hAnsi="Spectral"/>
                <w:color w:val="232223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color w:val="232223"/>
                <w:sz w:val="20"/>
                <w:szCs w:val="20"/>
                <w:rtl w:val="0"/>
              </w:rPr>
              <w:t xml:space="preserve">TOTAL SCORE </w:t>
            </w:r>
            <w:r w:rsidDel="00000000" w:rsidR="00000000" w:rsidRPr="00000000">
              <w:rPr>
                <w:rFonts w:ascii="Spectral" w:cs="Spectral" w:eastAsia="Spectral" w:hAnsi="Spectral"/>
                <w:color w:val="232223"/>
                <w:sz w:val="20"/>
                <w:szCs w:val="20"/>
                <w:rtl w:val="0"/>
              </w:rPr>
              <w:t xml:space="preserve">(total possible=30)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Major Gifts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Annual Giving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Events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Grants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0"/>
                <w:szCs w:val="20"/>
                <w:rtl w:val="0"/>
              </w:rPr>
              <w:t xml:space="preserve">Corporate Sponsorships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rPr>
          <w:rFonts w:ascii="Spectral" w:cs="Spectral" w:eastAsia="Spectral" w:hAnsi="Spectr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rFonts w:ascii="Spectral" w:cs="Spectral" w:eastAsia="Spectral" w:hAnsi="Spectr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rFonts w:ascii="Spectral" w:cs="Spectral" w:eastAsia="Spectral" w:hAnsi="Spectr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rFonts w:ascii="Spectral" w:cs="Spectral" w:eastAsia="Spectral" w:hAnsi="Spectr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rFonts w:ascii="Spectral" w:cs="Spectral" w:eastAsia="Spectral" w:hAnsi="Spectral"/>
          <w:sz w:val="20"/>
          <w:szCs w:val="20"/>
        </w:rPr>
      </w:pPr>
      <w:r w:rsidDel="00000000" w:rsidR="00000000" w:rsidRPr="00000000">
        <w:rPr>
          <w:rFonts w:ascii="Spectral" w:cs="Spectral" w:eastAsia="Spectral" w:hAnsi="Spectral"/>
          <w:sz w:val="20"/>
          <w:szCs w:val="20"/>
          <w:rtl w:val="0"/>
        </w:rPr>
        <w:t xml:space="preserve">Please use the following to audit your organization’s fundraising strategies. As you learn the implications of each strategy, consider the effectiveness of your own.</w:t>
      </w:r>
    </w:p>
    <w:p w:rsidR="00000000" w:rsidDel="00000000" w:rsidP="00000000" w:rsidRDefault="00000000" w:rsidRPr="00000000" w14:paraId="00000040">
      <w:pPr>
        <w:pageBreakBefore w:val="0"/>
        <w:rPr>
          <w:rFonts w:ascii="Spectral" w:cs="Spectral" w:eastAsia="Spectral" w:hAnsi="Spectr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rFonts w:ascii="Spectral" w:cs="Spectral" w:eastAsia="Spectral" w:hAnsi="Spectral"/>
          <w:sz w:val="20"/>
          <w:szCs w:val="20"/>
        </w:rPr>
      </w:pPr>
      <w:r w:rsidDel="00000000" w:rsidR="00000000" w:rsidRPr="00000000">
        <w:rPr>
          <w:rFonts w:ascii="Spectral" w:cs="Spectral" w:eastAsia="Spectral" w:hAnsi="Spectral"/>
          <w:sz w:val="20"/>
          <w:szCs w:val="20"/>
          <w:rtl w:val="0"/>
        </w:rPr>
        <w:t xml:space="preserve">Please rate your response to each factor listed below using the following scale:</w:t>
      </w:r>
    </w:p>
    <w:p w:rsidR="00000000" w:rsidDel="00000000" w:rsidP="00000000" w:rsidRDefault="00000000" w:rsidRPr="00000000" w14:paraId="00000042">
      <w:pPr>
        <w:pageBreakBefore w:val="0"/>
        <w:rPr>
          <w:rFonts w:ascii="Spectral" w:cs="Spectral" w:eastAsia="Spectral" w:hAnsi="Spectral"/>
          <w:sz w:val="20"/>
          <w:szCs w:val="20"/>
        </w:rPr>
      </w:pPr>
      <w:r w:rsidDel="00000000" w:rsidR="00000000" w:rsidRPr="00000000">
        <w:rPr>
          <w:rFonts w:ascii="Spectral" w:cs="Spectral" w:eastAsia="Spectral" w:hAnsi="Spectral"/>
          <w:sz w:val="20"/>
          <w:szCs w:val="20"/>
          <w:rtl w:val="0"/>
        </w:rPr>
        <w:t xml:space="preserve">1: Not at all true</w:t>
      </w:r>
    </w:p>
    <w:p w:rsidR="00000000" w:rsidDel="00000000" w:rsidP="00000000" w:rsidRDefault="00000000" w:rsidRPr="00000000" w14:paraId="00000043">
      <w:pPr>
        <w:pageBreakBefore w:val="0"/>
        <w:rPr>
          <w:rFonts w:ascii="Spectral" w:cs="Spectral" w:eastAsia="Spectral" w:hAnsi="Spectral"/>
          <w:sz w:val="20"/>
          <w:szCs w:val="20"/>
        </w:rPr>
      </w:pPr>
      <w:r w:rsidDel="00000000" w:rsidR="00000000" w:rsidRPr="00000000">
        <w:rPr>
          <w:rFonts w:ascii="Spectral" w:cs="Spectral" w:eastAsia="Spectral" w:hAnsi="Spectral"/>
          <w:sz w:val="20"/>
          <w:szCs w:val="20"/>
          <w:rtl w:val="0"/>
        </w:rPr>
        <w:t xml:space="preserve">2: Mostly not true</w:t>
      </w:r>
    </w:p>
    <w:p w:rsidR="00000000" w:rsidDel="00000000" w:rsidP="00000000" w:rsidRDefault="00000000" w:rsidRPr="00000000" w14:paraId="00000044">
      <w:pPr>
        <w:pageBreakBefore w:val="0"/>
        <w:rPr>
          <w:rFonts w:ascii="Spectral" w:cs="Spectral" w:eastAsia="Spectral" w:hAnsi="Spectral"/>
          <w:sz w:val="20"/>
          <w:szCs w:val="20"/>
        </w:rPr>
      </w:pPr>
      <w:r w:rsidDel="00000000" w:rsidR="00000000" w:rsidRPr="00000000">
        <w:rPr>
          <w:rFonts w:ascii="Spectral" w:cs="Spectral" w:eastAsia="Spectral" w:hAnsi="Spectral"/>
          <w:sz w:val="20"/>
          <w:szCs w:val="20"/>
          <w:rtl w:val="0"/>
        </w:rPr>
        <w:t xml:space="preserve">3: Somewhat true</w:t>
      </w:r>
    </w:p>
    <w:p w:rsidR="00000000" w:rsidDel="00000000" w:rsidP="00000000" w:rsidRDefault="00000000" w:rsidRPr="00000000" w14:paraId="00000045">
      <w:pPr>
        <w:pageBreakBefore w:val="0"/>
        <w:rPr>
          <w:rFonts w:ascii="Spectral" w:cs="Spectral" w:eastAsia="Spectral" w:hAnsi="Spectral"/>
          <w:sz w:val="20"/>
          <w:szCs w:val="20"/>
        </w:rPr>
      </w:pPr>
      <w:r w:rsidDel="00000000" w:rsidR="00000000" w:rsidRPr="00000000">
        <w:rPr>
          <w:rFonts w:ascii="Spectral" w:cs="Spectral" w:eastAsia="Spectral" w:hAnsi="Spectral"/>
          <w:sz w:val="20"/>
          <w:szCs w:val="20"/>
          <w:rtl w:val="0"/>
        </w:rPr>
        <w:t xml:space="preserve">4: Mostly true</w:t>
      </w:r>
    </w:p>
    <w:p w:rsidR="00000000" w:rsidDel="00000000" w:rsidP="00000000" w:rsidRDefault="00000000" w:rsidRPr="00000000" w14:paraId="00000046">
      <w:pPr>
        <w:pageBreakBefore w:val="0"/>
        <w:rPr>
          <w:rFonts w:ascii="Spectral" w:cs="Spectral" w:eastAsia="Spectral" w:hAnsi="Spectral"/>
          <w:sz w:val="20"/>
          <w:szCs w:val="20"/>
        </w:rPr>
      </w:pPr>
      <w:r w:rsidDel="00000000" w:rsidR="00000000" w:rsidRPr="00000000">
        <w:rPr>
          <w:rFonts w:ascii="Spectral" w:cs="Spectral" w:eastAsia="Spectral" w:hAnsi="Spectral"/>
          <w:sz w:val="20"/>
          <w:szCs w:val="20"/>
          <w:rtl w:val="0"/>
        </w:rPr>
        <w:t xml:space="preserve">5: Completely true</w:t>
      </w:r>
    </w:p>
    <w:p w:rsidR="00000000" w:rsidDel="00000000" w:rsidP="00000000" w:rsidRDefault="00000000" w:rsidRPr="00000000" w14:paraId="00000047">
      <w:pPr>
        <w:pageBreakBefore w:val="0"/>
        <w:rPr>
          <w:rFonts w:ascii="Spectral" w:cs="Spectral" w:eastAsia="Spectral" w:hAnsi="Spectr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25"/>
        <w:gridCol w:w="1890"/>
        <w:tblGridChange w:id="0">
          <w:tblGrid>
            <w:gridCol w:w="11025"/>
            <w:gridCol w:w="189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MAJOR GIFTS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Factor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There is evidence of current donors with untapped major gift capacity and propensity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significant connectors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Our specific program goals inspire transformational gifts and we can clearly demonstrate impact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problem we are designed to solve is an appealing investment for individual donors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are willing to allow restricted gifts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are prepared for a 6-8 month investment cycle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or are willing to set up a system to manage donor portfolio (Full time officer holds +/- 100 donors on portfolio at a time) and spend at least 10 hours/week on the daily practice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or are willing to invest in staffing to support the program such as a Major Gift Officer and a Portfolio Specialist as well as collateral and a travel budget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This strategy is well matched with the trajectory of our revenue goals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Return on Investment for this strategy seems high for 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This strategy is aligned with the current lifecycle of our organization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41</w:t>
            </w:r>
          </w:p>
        </w:tc>
      </w:tr>
    </w:tbl>
    <w:p w:rsidR="00000000" w:rsidDel="00000000" w:rsidP="00000000" w:rsidRDefault="00000000" w:rsidRPr="00000000" w14:paraId="00000065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80"/>
        <w:gridCol w:w="1740"/>
        <w:tblGridChange w:id="0">
          <w:tblGrid>
            <w:gridCol w:w="10980"/>
            <w:gridCol w:w="174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ANNUAL GIVING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Factor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a high tolerance for a long runway (you will not receive a return on investment for 18 months) and can make an upfront investment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problem we are designed to solve is appealing or can be made appealing to a mass scalable audience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We’re prepared to apply direct response science to the fundraising operation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a competency and proclivity to storytelling through words and imagery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or are willing to source the ability to write, manage a communications calendar, analyze and report on tactical performance,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or are willing to acquire a robust CRM system to support gift acknowledgement and receipting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or are willing to build strong communication and online giving platforms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or are willing to invest in staffing to support this strategy, such as: annual giving manager, database/reporting manager, donor relations specialist, communications specialist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This strategy is well matched with the trajectory of our revenue goals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Return on Investment for this strategy seems high for 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This strategy is aligned with the current lifecycle of our organization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39</w:t>
            </w:r>
          </w:p>
        </w:tc>
      </w:tr>
    </w:tbl>
    <w:p w:rsidR="00000000" w:rsidDel="00000000" w:rsidP="00000000" w:rsidRDefault="00000000" w:rsidRPr="00000000" w14:paraId="00000083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6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0"/>
        <w:gridCol w:w="1740"/>
        <w:tblGridChange w:id="0">
          <w:tblGrid>
            <w:gridCol w:w="10950"/>
            <w:gridCol w:w="174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d9ead3" w:val="clear"/>
          </w:tcPr>
          <w:p w:rsidR="00000000" w:rsidDel="00000000" w:rsidP="00000000" w:rsidRDefault="00000000" w:rsidRPr="00000000" w14:paraId="00000085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Factor</w:t>
            </w:r>
          </w:p>
        </w:tc>
        <w:tc>
          <w:tcPr/>
          <w:p w:rsidR="00000000" w:rsidDel="00000000" w:rsidP="00000000" w:rsidRDefault="00000000" w:rsidRPr="00000000" w14:paraId="00000088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Our programming benefits from telling a story in a specific time and place</w:t>
            </w:r>
          </w:p>
        </w:tc>
        <w:tc>
          <w:tcPr/>
          <w:p w:rsidR="00000000" w:rsidDel="00000000" w:rsidP="00000000" w:rsidRDefault="00000000" w:rsidRPr="00000000" w14:paraId="0000008A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pageBreakBefore w:val="0"/>
              <w:spacing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You have the proclivity for designing and producing transformational experiences</w:t>
            </w:r>
          </w:p>
        </w:tc>
        <w:tc>
          <w:tcPr/>
          <w:p w:rsidR="00000000" w:rsidDel="00000000" w:rsidP="00000000" w:rsidRDefault="00000000" w:rsidRPr="00000000" w14:paraId="0000008C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problem we are designed to solve is appealing or can be made appealing to communities of individuals</w:t>
            </w:r>
          </w:p>
        </w:tc>
        <w:tc>
          <w:tcPr/>
          <w:p w:rsidR="00000000" w:rsidDel="00000000" w:rsidP="00000000" w:rsidRDefault="00000000" w:rsidRPr="00000000" w14:paraId="0000008E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life stage of the organization matches the lift necessary to host a successful event (Cost to raise $1 is less than $.35 by year 3)</w:t>
            </w:r>
          </w:p>
        </w:tc>
        <w:tc>
          <w:tcPr/>
          <w:p w:rsidR="00000000" w:rsidDel="00000000" w:rsidP="00000000" w:rsidRDefault="00000000" w:rsidRPr="00000000" w14:paraId="00000090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the reach to efficiently exceed participation goals</w:t>
            </w:r>
          </w:p>
        </w:tc>
        <w:tc>
          <w:tcPr/>
          <w:p w:rsidR="00000000" w:rsidDel="00000000" w:rsidP="00000000" w:rsidRDefault="00000000" w:rsidRPr="00000000" w14:paraId="00000092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or can acquire a CRM, gift acknowledgement, and receipting process</w:t>
            </w:r>
          </w:p>
        </w:tc>
        <w:tc>
          <w:tcPr/>
          <w:p w:rsidR="00000000" w:rsidDel="00000000" w:rsidP="00000000" w:rsidRDefault="00000000" w:rsidRPr="00000000" w14:paraId="00000094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or can build strong communications platforms</w:t>
            </w:r>
          </w:p>
        </w:tc>
        <w:tc>
          <w:tcPr/>
          <w:p w:rsidR="00000000" w:rsidDel="00000000" w:rsidP="00000000" w:rsidRDefault="00000000" w:rsidRPr="00000000" w14:paraId="00000096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or can support staffing for this strategy: Events Manager, Events Specialist (logistics), and a Communications Specialist</w:t>
            </w:r>
          </w:p>
        </w:tc>
        <w:tc>
          <w:tcPr/>
          <w:p w:rsidR="00000000" w:rsidDel="00000000" w:rsidP="00000000" w:rsidRDefault="00000000" w:rsidRPr="00000000" w14:paraId="00000098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This strategy is well matched with the trajectory of our revenue goals</w:t>
            </w:r>
          </w:p>
        </w:tc>
        <w:tc>
          <w:tcPr/>
          <w:p w:rsidR="00000000" w:rsidDel="00000000" w:rsidP="00000000" w:rsidRDefault="00000000" w:rsidRPr="00000000" w14:paraId="0000009A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Return on Investment for this strategy seems high for us</w:t>
            </w:r>
          </w:p>
        </w:tc>
        <w:tc>
          <w:tcPr/>
          <w:p w:rsidR="00000000" w:rsidDel="00000000" w:rsidP="00000000" w:rsidRDefault="00000000" w:rsidRPr="00000000" w14:paraId="0000009C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This strategy is aligned with the current lifecycle of our organization</w:t>
            </w:r>
          </w:p>
        </w:tc>
        <w:tc>
          <w:tcPr/>
          <w:p w:rsidR="00000000" w:rsidDel="00000000" w:rsidP="00000000" w:rsidRDefault="00000000" w:rsidRPr="00000000" w14:paraId="0000009E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A0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32</w:t>
            </w:r>
          </w:p>
        </w:tc>
      </w:tr>
    </w:tbl>
    <w:p w:rsidR="00000000" w:rsidDel="00000000" w:rsidP="00000000" w:rsidRDefault="00000000" w:rsidRPr="00000000" w14:paraId="000000A1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0"/>
        <w:gridCol w:w="1590"/>
        <w:tblGridChange w:id="0">
          <w:tblGrid>
            <w:gridCol w:w="10950"/>
            <w:gridCol w:w="159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Factor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a strong outcome-driven logic model fueled by clear program 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a program model that appeals to multiple funding priorities (ie: workforce development funding and mental health funding might apply to your program)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problem we are designed to solve is appealing or can be made appealing to institutions and can compete with other organizations similar to 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strong evaluation and reporting infrastructure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or can acquire a grant portfolio management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or can create a grant language sourcebook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or can create a process for field-generated reporting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or can support staffing for this strategy: relationship manager, grant writer/report writer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This strategy is well matched with the trajectory of our revenue goals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Return on Investment for this strategy seems high for 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This strategy is aligned with the current lifecycle of our organization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34</w:t>
            </w:r>
          </w:p>
        </w:tc>
      </w:tr>
    </w:tbl>
    <w:p w:rsidR="00000000" w:rsidDel="00000000" w:rsidP="00000000" w:rsidRDefault="00000000" w:rsidRPr="00000000" w14:paraId="000000BF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2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65"/>
        <w:gridCol w:w="1455"/>
        <w:tblGridChange w:id="0">
          <w:tblGrid>
            <w:gridCol w:w="10965"/>
            <w:gridCol w:w="145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CORPORATE SPONSORSHIPS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Factor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Our organization is positioned to expand the public reach of corporate brands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Our programming naturally produces opportunities for mass volunteerism or employee engagement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problem we are designed to solve is appealing or can be made appealing to corporate entities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We’re willing to invest in the development of sponsorable assets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understand and accept the liabilities of corporate alignment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or are willing to invest in marketing and collateral assets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or are willing to acquire a system to manage a sponsorship portfolio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have or are willing to support staffing for this strategy: staff to fulfill sponsorship benefits (Fulfillment Specialist), manage volunteers (Volunteer Coordinator), and develop sponsorships (Sponsorship Officer)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This strategy is well matched with the trajectory of our revenue goals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Return on Investment for this strategy seems high for 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This strategy is aligned with the current lifecycle of our organization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41</w:t>
            </w:r>
          </w:p>
        </w:tc>
      </w:tr>
    </w:tbl>
    <w:p w:rsidR="00000000" w:rsidDel="00000000" w:rsidP="00000000" w:rsidRDefault="00000000" w:rsidRPr="00000000" w14:paraId="000000DD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51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2085"/>
        <w:tblGridChange w:id="0">
          <w:tblGrid>
            <w:gridCol w:w="3090"/>
            <w:gridCol w:w="208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Major Gifts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41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Annual Giving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39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Events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Grants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34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Corporate Sponsorships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41</w:t>
            </w:r>
          </w:p>
        </w:tc>
      </w:tr>
    </w:tbl>
    <w:p w:rsidR="00000000" w:rsidDel="00000000" w:rsidP="00000000" w:rsidRDefault="00000000" w:rsidRPr="00000000" w14:paraId="000000EC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Note: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scores on this rubric are designed only to supplement your decision-making process. They should not be interpreted as the only data point.</w:t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ato Hairlin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pectral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Hairline-regular.ttf"/><Relationship Id="rId2" Type="http://schemas.openxmlformats.org/officeDocument/2006/relationships/font" Target="fonts/LatoHairline-bold.ttf"/><Relationship Id="rId3" Type="http://schemas.openxmlformats.org/officeDocument/2006/relationships/font" Target="fonts/LatoHairline-italic.ttf"/><Relationship Id="rId4" Type="http://schemas.openxmlformats.org/officeDocument/2006/relationships/font" Target="fonts/LatoHairline-boldItalic.ttf"/><Relationship Id="rId5" Type="http://schemas.openxmlformats.org/officeDocument/2006/relationships/font" Target="fonts/Spectral-regular.ttf"/><Relationship Id="rId6" Type="http://schemas.openxmlformats.org/officeDocument/2006/relationships/font" Target="fonts/Spectral-bold.ttf"/><Relationship Id="rId7" Type="http://schemas.openxmlformats.org/officeDocument/2006/relationships/font" Target="fonts/Spectral-italic.ttf"/><Relationship Id="rId8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